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WinSoft Pro">
    <w:altName w:val="Segoe UI"/>
    <w:charset w:val="00"/>
    <w:family w:val="swiss"/>
    <w:pitch w:val="variable"/>
    <w:sig w:usb0="0000280F" w:usb1="00000000" w:usb2="00000000" w:usb3="00000000" w:csb0="0000006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2D4"/>
    <w:multiLevelType w:val="hybridMultilevel"/>
    <w:tmpl w:val="0F6CE2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F2905"/>
    <w:multiLevelType w:val="hybridMultilevel"/>
    <w:tmpl w:val="D7740E20"/>
    <w:lvl w:ilvl="0" w:tplc="040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8987227"/>
    <w:multiLevelType w:val="hybridMultilevel"/>
    <w:tmpl w:val="46AEE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D3FE9"/>
    <w:multiLevelType w:val="hybridMultilevel"/>
    <w:tmpl w:val="BC964E3A"/>
    <w:lvl w:ilvl="0" w:tplc="ED9295D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0D1C0C9F"/>
    <w:multiLevelType w:val="hybridMultilevel"/>
    <w:tmpl w:val="A86C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892"/>
    <w:multiLevelType w:val="hybridMultilevel"/>
    <w:tmpl w:val="543C1216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C94BE1"/>
    <w:multiLevelType w:val="hybridMultilevel"/>
    <w:tmpl w:val="89B2EE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773E0"/>
    <w:multiLevelType w:val="hybridMultilevel"/>
    <w:tmpl w:val="2D5EB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40D14"/>
    <w:multiLevelType w:val="hybridMultilevel"/>
    <w:tmpl w:val="E71C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16214"/>
    <w:multiLevelType w:val="hybridMultilevel"/>
    <w:tmpl w:val="C81E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6B1"/>
    <w:multiLevelType w:val="hybridMultilevel"/>
    <w:tmpl w:val="DCFAF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C0832"/>
    <w:multiLevelType w:val="hybridMultilevel"/>
    <w:tmpl w:val="1CF07094"/>
    <w:lvl w:ilvl="0" w:tplc="78C0D7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2BD83AAA"/>
    <w:multiLevelType w:val="hybridMultilevel"/>
    <w:tmpl w:val="A606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14FA2"/>
    <w:multiLevelType w:val="hybridMultilevel"/>
    <w:tmpl w:val="61CA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71A12"/>
    <w:multiLevelType w:val="hybridMultilevel"/>
    <w:tmpl w:val="9832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44EF38B4"/>
    <w:multiLevelType w:val="hybridMultilevel"/>
    <w:tmpl w:val="221CD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49561B"/>
    <w:multiLevelType w:val="hybridMultilevel"/>
    <w:tmpl w:val="3C28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7845C3F"/>
    <w:multiLevelType w:val="hybridMultilevel"/>
    <w:tmpl w:val="6D54B8B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7A248E5"/>
    <w:multiLevelType w:val="hybridMultilevel"/>
    <w:tmpl w:val="8BAE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B1674"/>
    <w:multiLevelType w:val="hybridMultilevel"/>
    <w:tmpl w:val="466E5F64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DEF29D82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523184"/>
    <w:multiLevelType w:val="hybridMultilevel"/>
    <w:tmpl w:val="8698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32F31"/>
    <w:multiLevelType w:val="hybridMultilevel"/>
    <w:tmpl w:val="6FF0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06909"/>
    <w:multiLevelType w:val="hybridMultilevel"/>
    <w:tmpl w:val="8076A060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53B46D68"/>
    <w:multiLevelType w:val="hybridMultilevel"/>
    <w:tmpl w:val="E59299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04117E"/>
    <w:multiLevelType w:val="hybridMultilevel"/>
    <w:tmpl w:val="90B4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23DA2"/>
    <w:multiLevelType w:val="hybridMultilevel"/>
    <w:tmpl w:val="72BE6DE4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CDF2550"/>
    <w:multiLevelType w:val="hybridMultilevel"/>
    <w:tmpl w:val="41D0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138E1"/>
    <w:multiLevelType w:val="hybridMultilevel"/>
    <w:tmpl w:val="B6A45E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690634"/>
    <w:multiLevelType w:val="hybridMultilevel"/>
    <w:tmpl w:val="1F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A44D5"/>
    <w:multiLevelType w:val="hybridMultilevel"/>
    <w:tmpl w:val="B798B0D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BC45B7"/>
    <w:multiLevelType w:val="hybridMultilevel"/>
    <w:tmpl w:val="3556B514"/>
    <w:lvl w:ilvl="0" w:tplc="040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31" w15:restartNumberingAfterBreak="0">
    <w:nsid w:val="70AB2D66"/>
    <w:multiLevelType w:val="hybridMultilevel"/>
    <w:tmpl w:val="A36CD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2" w15:restartNumberingAfterBreak="0">
    <w:nsid w:val="715225C3"/>
    <w:multiLevelType w:val="hybridMultilevel"/>
    <w:tmpl w:val="CF06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6E75EF"/>
    <w:multiLevelType w:val="hybridMultilevel"/>
    <w:tmpl w:val="22E4D24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 w15:restartNumberingAfterBreak="0">
    <w:nsid w:val="782B60B1"/>
    <w:multiLevelType w:val="hybridMultilevel"/>
    <w:tmpl w:val="8608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D3174"/>
    <w:multiLevelType w:val="hybridMultilevel"/>
    <w:tmpl w:val="DD58F7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6D260FE"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1D6C09"/>
    <w:multiLevelType w:val="hybridMultilevel"/>
    <w:tmpl w:val="D834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87E8E"/>
    <w:multiLevelType w:val="hybridMultilevel"/>
    <w:tmpl w:val="E6C2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A6957"/>
    <w:multiLevelType w:val="hybridMultilevel"/>
    <w:tmpl w:val="FD066A00"/>
    <w:lvl w:ilvl="0" w:tplc="C92AF214">
      <w:start w:val="1"/>
      <w:numFmt w:val="bullet"/>
      <w:lvlText w:val=""/>
      <w:lvlJc w:val="left"/>
      <w:pPr>
        <w:tabs>
          <w:tab w:val="num" w:pos="872"/>
        </w:tabs>
        <w:ind w:left="872" w:hanging="576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"/>
  </w:num>
  <w:num w:numId="4">
    <w:abstractNumId w:val="29"/>
  </w:num>
  <w:num w:numId="5">
    <w:abstractNumId w:val="35"/>
  </w:num>
  <w:num w:numId="6">
    <w:abstractNumId w:val="6"/>
  </w:num>
  <w:num w:numId="7">
    <w:abstractNumId w:val="25"/>
  </w:num>
  <w:num w:numId="8">
    <w:abstractNumId w:val="16"/>
  </w:num>
  <w:num w:numId="9">
    <w:abstractNumId w:val="32"/>
  </w:num>
  <w:num w:numId="10">
    <w:abstractNumId w:val="5"/>
  </w:num>
  <w:num w:numId="11">
    <w:abstractNumId w:val="31"/>
  </w:num>
  <w:num w:numId="12">
    <w:abstractNumId w:val="14"/>
  </w:num>
  <w:num w:numId="13">
    <w:abstractNumId w:val="15"/>
  </w:num>
  <w:num w:numId="14">
    <w:abstractNumId w:val="0"/>
  </w:num>
  <w:num w:numId="15">
    <w:abstractNumId w:val="19"/>
  </w:num>
  <w:num w:numId="16">
    <w:abstractNumId w:val="23"/>
  </w:num>
  <w:num w:numId="17">
    <w:abstractNumId w:val="27"/>
  </w:num>
  <w:num w:numId="18">
    <w:abstractNumId w:val="38"/>
  </w:num>
  <w:num w:numId="19">
    <w:abstractNumId w:val="22"/>
  </w:num>
  <w:num w:numId="20">
    <w:abstractNumId w:val="36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28"/>
  </w:num>
  <w:num w:numId="26">
    <w:abstractNumId w:val="33"/>
  </w:num>
  <w:num w:numId="27">
    <w:abstractNumId w:val="17"/>
  </w:num>
  <w:num w:numId="28">
    <w:abstractNumId w:val="2"/>
  </w:num>
  <w:num w:numId="29">
    <w:abstractNumId w:val="4"/>
  </w:num>
  <w:num w:numId="30">
    <w:abstractNumId w:val="34"/>
  </w:num>
  <w:num w:numId="31">
    <w:abstractNumId w:val="26"/>
  </w:num>
  <w:num w:numId="32">
    <w:abstractNumId w:val="12"/>
  </w:num>
  <w:num w:numId="33">
    <w:abstractNumId w:val="21"/>
  </w:num>
  <w:num w:numId="34">
    <w:abstractNumId w:val="13"/>
  </w:num>
  <w:num w:numId="35">
    <w:abstractNumId w:val="20"/>
  </w:num>
  <w:num w:numId="36">
    <w:abstractNumId w:val="8"/>
  </w:num>
  <w:num w:numId="37">
    <w:abstractNumId w:val="18"/>
  </w:num>
  <w:num w:numId="38">
    <w:abstractNumId w:val="37"/>
  </w:num>
  <w:num w:numId="3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4097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5"/>
    <w:rsid w:val="000015F8"/>
    <w:rsid w:val="000235D1"/>
    <w:rsid w:val="0002425E"/>
    <w:rsid w:val="00034572"/>
    <w:rsid w:val="00037582"/>
    <w:rsid w:val="00040CCB"/>
    <w:rsid w:val="00043988"/>
    <w:rsid w:val="000479EF"/>
    <w:rsid w:val="00052C96"/>
    <w:rsid w:val="000606CE"/>
    <w:rsid w:val="00065C41"/>
    <w:rsid w:val="00066EF6"/>
    <w:rsid w:val="00070933"/>
    <w:rsid w:val="000728AB"/>
    <w:rsid w:val="00077C61"/>
    <w:rsid w:val="00084EF7"/>
    <w:rsid w:val="0008715C"/>
    <w:rsid w:val="0009311A"/>
    <w:rsid w:val="000933A5"/>
    <w:rsid w:val="00093627"/>
    <w:rsid w:val="000A05B6"/>
    <w:rsid w:val="000A1FEF"/>
    <w:rsid w:val="000A36FD"/>
    <w:rsid w:val="000A55F9"/>
    <w:rsid w:val="000A5E6C"/>
    <w:rsid w:val="000B57BA"/>
    <w:rsid w:val="000B74EC"/>
    <w:rsid w:val="000C0129"/>
    <w:rsid w:val="000C61FB"/>
    <w:rsid w:val="000C7776"/>
    <w:rsid w:val="000D0FB6"/>
    <w:rsid w:val="000D256C"/>
    <w:rsid w:val="000D7371"/>
    <w:rsid w:val="000D785A"/>
    <w:rsid w:val="000E4EB9"/>
    <w:rsid w:val="000E6D0A"/>
    <w:rsid w:val="000F48FF"/>
    <w:rsid w:val="000F700F"/>
    <w:rsid w:val="000F792C"/>
    <w:rsid w:val="00101F60"/>
    <w:rsid w:val="00102841"/>
    <w:rsid w:val="001067EA"/>
    <w:rsid w:val="001069BB"/>
    <w:rsid w:val="00114E2B"/>
    <w:rsid w:val="00116098"/>
    <w:rsid w:val="00117445"/>
    <w:rsid w:val="00131266"/>
    <w:rsid w:val="00132769"/>
    <w:rsid w:val="00133BC0"/>
    <w:rsid w:val="001350AB"/>
    <w:rsid w:val="0013542F"/>
    <w:rsid w:val="00145647"/>
    <w:rsid w:val="001461CD"/>
    <w:rsid w:val="0015487A"/>
    <w:rsid w:val="00155A38"/>
    <w:rsid w:val="001572D1"/>
    <w:rsid w:val="00164AA2"/>
    <w:rsid w:val="00165308"/>
    <w:rsid w:val="001657A4"/>
    <w:rsid w:val="00165E2A"/>
    <w:rsid w:val="00171E4A"/>
    <w:rsid w:val="00176C77"/>
    <w:rsid w:val="00177D17"/>
    <w:rsid w:val="001829A1"/>
    <w:rsid w:val="00182C8C"/>
    <w:rsid w:val="00192CF8"/>
    <w:rsid w:val="001A75D7"/>
    <w:rsid w:val="001B10A8"/>
    <w:rsid w:val="001B347E"/>
    <w:rsid w:val="001B3D85"/>
    <w:rsid w:val="001B596A"/>
    <w:rsid w:val="001C0374"/>
    <w:rsid w:val="001C31B2"/>
    <w:rsid w:val="001C6EB1"/>
    <w:rsid w:val="001C7189"/>
    <w:rsid w:val="001D15E1"/>
    <w:rsid w:val="001D7AE9"/>
    <w:rsid w:val="001E48D9"/>
    <w:rsid w:val="001F0ACA"/>
    <w:rsid w:val="001F1E7F"/>
    <w:rsid w:val="001F40FD"/>
    <w:rsid w:val="001F5B28"/>
    <w:rsid w:val="002050E6"/>
    <w:rsid w:val="00210E64"/>
    <w:rsid w:val="002164D5"/>
    <w:rsid w:val="002165DC"/>
    <w:rsid w:val="00227F4F"/>
    <w:rsid w:val="0023006B"/>
    <w:rsid w:val="002358A1"/>
    <w:rsid w:val="00235D84"/>
    <w:rsid w:val="00236DA3"/>
    <w:rsid w:val="0024170D"/>
    <w:rsid w:val="002453E3"/>
    <w:rsid w:val="002467D7"/>
    <w:rsid w:val="00247340"/>
    <w:rsid w:val="00251915"/>
    <w:rsid w:val="00253A95"/>
    <w:rsid w:val="00262FB4"/>
    <w:rsid w:val="00264C6D"/>
    <w:rsid w:val="00265AF1"/>
    <w:rsid w:val="0026632F"/>
    <w:rsid w:val="00267A48"/>
    <w:rsid w:val="0027044F"/>
    <w:rsid w:val="0027171C"/>
    <w:rsid w:val="00272695"/>
    <w:rsid w:val="002736AB"/>
    <w:rsid w:val="00283FD9"/>
    <w:rsid w:val="002B0480"/>
    <w:rsid w:val="002D5AD4"/>
    <w:rsid w:val="002E6C7F"/>
    <w:rsid w:val="00301354"/>
    <w:rsid w:val="003023C7"/>
    <w:rsid w:val="003044F6"/>
    <w:rsid w:val="00307259"/>
    <w:rsid w:val="00310672"/>
    <w:rsid w:val="00311219"/>
    <w:rsid w:val="003166C6"/>
    <w:rsid w:val="00324137"/>
    <w:rsid w:val="003256B5"/>
    <w:rsid w:val="00330170"/>
    <w:rsid w:val="0033039F"/>
    <w:rsid w:val="003322C2"/>
    <w:rsid w:val="0033490E"/>
    <w:rsid w:val="003365F8"/>
    <w:rsid w:val="00343FC3"/>
    <w:rsid w:val="003465BB"/>
    <w:rsid w:val="00353036"/>
    <w:rsid w:val="00354E0C"/>
    <w:rsid w:val="003601D3"/>
    <w:rsid w:val="003676DF"/>
    <w:rsid w:val="003679B2"/>
    <w:rsid w:val="0037600B"/>
    <w:rsid w:val="00380CE2"/>
    <w:rsid w:val="0038186D"/>
    <w:rsid w:val="003843C5"/>
    <w:rsid w:val="0038448F"/>
    <w:rsid w:val="00385F8A"/>
    <w:rsid w:val="00387A7A"/>
    <w:rsid w:val="0039224D"/>
    <w:rsid w:val="0039634A"/>
    <w:rsid w:val="003973CA"/>
    <w:rsid w:val="003A144A"/>
    <w:rsid w:val="003A5EAF"/>
    <w:rsid w:val="003A79DF"/>
    <w:rsid w:val="003B6368"/>
    <w:rsid w:val="003C044F"/>
    <w:rsid w:val="003C11E5"/>
    <w:rsid w:val="003D0A12"/>
    <w:rsid w:val="003D4471"/>
    <w:rsid w:val="003E102F"/>
    <w:rsid w:val="003E456E"/>
    <w:rsid w:val="003E694F"/>
    <w:rsid w:val="003F0497"/>
    <w:rsid w:val="003F18D7"/>
    <w:rsid w:val="00412DB3"/>
    <w:rsid w:val="00416576"/>
    <w:rsid w:val="00416D17"/>
    <w:rsid w:val="00420DEE"/>
    <w:rsid w:val="00421737"/>
    <w:rsid w:val="00426440"/>
    <w:rsid w:val="0043386D"/>
    <w:rsid w:val="00434999"/>
    <w:rsid w:val="00434A5F"/>
    <w:rsid w:val="00435A53"/>
    <w:rsid w:val="00436279"/>
    <w:rsid w:val="00436E0D"/>
    <w:rsid w:val="00441E52"/>
    <w:rsid w:val="00444605"/>
    <w:rsid w:val="00452FC3"/>
    <w:rsid w:val="00462AB7"/>
    <w:rsid w:val="004710AC"/>
    <w:rsid w:val="00485583"/>
    <w:rsid w:val="004862EB"/>
    <w:rsid w:val="00486E78"/>
    <w:rsid w:val="00491A3B"/>
    <w:rsid w:val="004954D0"/>
    <w:rsid w:val="004963A3"/>
    <w:rsid w:val="00496760"/>
    <w:rsid w:val="004A0E0E"/>
    <w:rsid w:val="004A248E"/>
    <w:rsid w:val="004B2995"/>
    <w:rsid w:val="004B46F1"/>
    <w:rsid w:val="004B5189"/>
    <w:rsid w:val="004B635B"/>
    <w:rsid w:val="004B6644"/>
    <w:rsid w:val="004C2F77"/>
    <w:rsid w:val="004D0059"/>
    <w:rsid w:val="004D3E0A"/>
    <w:rsid w:val="004D7BF5"/>
    <w:rsid w:val="004E0B17"/>
    <w:rsid w:val="00522342"/>
    <w:rsid w:val="005223CF"/>
    <w:rsid w:val="0052631E"/>
    <w:rsid w:val="0053353E"/>
    <w:rsid w:val="00540A38"/>
    <w:rsid w:val="00540C4D"/>
    <w:rsid w:val="00552AA3"/>
    <w:rsid w:val="00553E89"/>
    <w:rsid w:val="00572BA7"/>
    <w:rsid w:val="00573EE5"/>
    <w:rsid w:val="00585B4C"/>
    <w:rsid w:val="00593CE2"/>
    <w:rsid w:val="005B1D4F"/>
    <w:rsid w:val="005B321B"/>
    <w:rsid w:val="005B3ACF"/>
    <w:rsid w:val="005B4D6C"/>
    <w:rsid w:val="005C15B0"/>
    <w:rsid w:val="005C2512"/>
    <w:rsid w:val="005D239D"/>
    <w:rsid w:val="005D3D75"/>
    <w:rsid w:val="005D517F"/>
    <w:rsid w:val="005E02E0"/>
    <w:rsid w:val="005E0E92"/>
    <w:rsid w:val="005F1D4B"/>
    <w:rsid w:val="005F31D8"/>
    <w:rsid w:val="00600EC9"/>
    <w:rsid w:val="006027EB"/>
    <w:rsid w:val="00602D31"/>
    <w:rsid w:val="00606F37"/>
    <w:rsid w:val="00614808"/>
    <w:rsid w:val="00621BF7"/>
    <w:rsid w:val="006308F4"/>
    <w:rsid w:val="00632410"/>
    <w:rsid w:val="00632ADF"/>
    <w:rsid w:val="00633BD2"/>
    <w:rsid w:val="0063423D"/>
    <w:rsid w:val="00635025"/>
    <w:rsid w:val="00652EFE"/>
    <w:rsid w:val="00655B0D"/>
    <w:rsid w:val="006566A1"/>
    <w:rsid w:val="00661197"/>
    <w:rsid w:val="00687A8B"/>
    <w:rsid w:val="00690694"/>
    <w:rsid w:val="00693492"/>
    <w:rsid w:val="006A000F"/>
    <w:rsid w:val="006A05D3"/>
    <w:rsid w:val="006A2341"/>
    <w:rsid w:val="006A2B7D"/>
    <w:rsid w:val="006B48AA"/>
    <w:rsid w:val="006C00DA"/>
    <w:rsid w:val="006C174E"/>
    <w:rsid w:val="006D31FC"/>
    <w:rsid w:val="006E2DCF"/>
    <w:rsid w:val="006E37FD"/>
    <w:rsid w:val="006E3DDA"/>
    <w:rsid w:val="006E4AF9"/>
    <w:rsid w:val="006E7044"/>
    <w:rsid w:val="006E7803"/>
    <w:rsid w:val="006F52D6"/>
    <w:rsid w:val="006F60E7"/>
    <w:rsid w:val="006F7453"/>
    <w:rsid w:val="0070338E"/>
    <w:rsid w:val="0070392D"/>
    <w:rsid w:val="00717EC6"/>
    <w:rsid w:val="00721FE9"/>
    <w:rsid w:val="00723485"/>
    <w:rsid w:val="00723BC6"/>
    <w:rsid w:val="007274EE"/>
    <w:rsid w:val="007278A0"/>
    <w:rsid w:val="0073210B"/>
    <w:rsid w:val="00732E12"/>
    <w:rsid w:val="00742852"/>
    <w:rsid w:val="00745522"/>
    <w:rsid w:val="007463F0"/>
    <w:rsid w:val="007553DA"/>
    <w:rsid w:val="00755A2E"/>
    <w:rsid w:val="00756178"/>
    <w:rsid w:val="007605F7"/>
    <w:rsid w:val="00763B11"/>
    <w:rsid w:val="00763F7F"/>
    <w:rsid w:val="00776C30"/>
    <w:rsid w:val="00782586"/>
    <w:rsid w:val="007933DA"/>
    <w:rsid w:val="0079412E"/>
    <w:rsid w:val="00794F0C"/>
    <w:rsid w:val="007C0508"/>
    <w:rsid w:val="007C1283"/>
    <w:rsid w:val="007C524A"/>
    <w:rsid w:val="007D0CD0"/>
    <w:rsid w:val="007D261C"/>
    <w:rsid w:val="007E1E0B"/>
    <w:rsid w:val="007E1F4D"/>
    <w:rsid w:val="007E261B"/>
    <w:rsid w:val="007E4EED"/>
    <w:rsid w:val="007E6F4C"/>
    <w:rsid w:val="007F30AA"/>
    <w:rsid w:val="007F6B43"/>
    <w:rsid w:val="008047DE"/>
    <w:rsid w:val="008070C1"/>
    <w:rsid w:val="008155A2"/>
    <w:rsid w:val="00821B39"/>
    <w:rsid w:val="00826602"/>
    <w:rsid w:val="008270D3"/>
    <w:rsid w:val="00827C4C"/>
    <w:rsid w:val="00834EB2"/>
    <w:rsid w:val="0083744E"/>
    <w:rsid w:val="00840C0B"/>
    <w:rsid w:val="00842FA0"/>
    <w:rsid w:val="00843711"/>
    <w:rsid w:val="0084430F"/>
    <w:rsid w:val="00847CF5"/>
    <w:rsid w:val="00860AE5"/>
    <w:rsid w:val="00861F5F"/>
    <w:rsid w:val="00872294"/>
    <w:rsid w:val="00872DC2"/>
    <w:rsid w:val="00885833"/>
    <w:rsid w:val="008901AB"/>
    <w:rsid w:val="00897521"/>
    <w:rsid w:val="008A0C59"/>
    <w:rsid w:val="008A58D2"/>
    <w:rsid w:val="008C11B4"/>
    <w:rsid w:val="008C53C2"/>
    <w:rsid w:val="008C7E71"/>
    <w:rsid w:val="008D0E32"/>
    <w:rsid w:val="008D4811"/>
    <w:rsid w:val="008D6647"/>
    <w:rsid w:val="008E48A8"/>
    <w:rsid w:val="008E4BE3"/>
    <w:rsid w:val="008E727D"/>
    <w:rsid w:val="00904AB5"/>
    <w:rsid w:val="00906B91"/>
    <w:rsid w:val="00913E22"/>
    <w:rsid w:val="009205BA"/>
    <w:rsid w:val="009403F2"/>
    <w:rsid w:val="00947907"/>
    <w:rsid w:val="009556DD"/>
    <w:rsid w:val="00961ED4"/>
    <w:rsid w:val="00963745"/>
    <w:rsid w:val="0096519F"/>
    <w:rsid w:val="009654C0"/>
    <w:rsid w:val="009716B1"/>
    <w:rsid w:val="00984179"/>
    <w:rsid w:val="00986689"/>
    <w:rsid w:val="009866DC"/>
    <w:rsid w:val="00991484"/>
    <w:rsid w:val="009973C3"/>
    <w:rsid w:val="009A5B91"/>
    <w:rsid w:val="009A7F02"/>
    <w:rsid w:val="009B49BE"/>
    <w:rsid w:val="009C5B31"/>
    <w:rsid w:val="009D1F50"/>
    <w:rsid w:val="009D1F9B"/>
    <w:rsid w:val="009F400A"/>
    <w:rsid w:val="00A04083"/>
    <w:rsid w:val="00A10865"/>
    <w:rsid w:val="00A23841"/>
    <w:rsid w:val="00A24027"/>
    <w:rsid w:val="00A248DB"/>
    <w:rsid w:val="00A26171"/>
    <w:rsid w:val="00A30599"/>
    <w:rsid w:val="00A30882"/>
    <w:rsid w:val="00A44347"/>
    <w:rsid w:val="00A54330"/>
    <w:rsid w:val="00A5450B"/>
    <w:rsid w:val="00A611F0"/>
    <w:rsid w:val="00A62451"/>
    <w:rsid w:val="00A64B72"/>
    <w:rsid w:val="00A723D1"/>
    <w:rsid w:val="00A817AF"/>
    <w:rsid w:val="00A84985"/>
    <w:rsid w:val="00A8548A"/>
    <w:rsid w:val="00A86D0E"/>
    <w:rsid w:val="00AA0A2D"/>
    <w:rsid w:val="00AA34C0"/>
    <w:rsid w:val="00AB11F8"/>
    <w:rsid w:val="00AB1BF8"/>
    <w:rsid w:val="00AB633B"/>
    <w:rsid w:val="00AC15A5"/>
    <w:rsid w:val="00AC44F5"/>
    <w:rsid w:val="00AC4F0D"/>
    <w:rsid w:val="00AD0B05"/>
    <w:rsid w:val="00AE0447"/>
    <w:rsid w:val="00AE1912"/>
    <w:rsid w:val="00AE1F85"/>
    <w:rsid w:val="00AE7E67"/>
    <w:rsid w:val="00AF6FE4"/>
    <w:rsid w:val="00B02954"/>
    <w:rsid w:val="00B04A68"/>
    <w:rsid w:val="00B12DBB"/>
    <w:rsid w:val="00B14745"/>
    <w:rsid w:val="00B1493F"/>
    <w:rsid w:val="00B150F8"/>
    <w:rsid w:val="00B160EA"/>
    <w:rsid w:val="00B167D8"/>
    <w:rsid w:val="00B31AC4"/>
    <w:rsid w:val="00B456C7"/>
    <w:rsid w:val="00B60AD8"/>
    <w:rsid w:val="00B62A7D"/>
    <w:rsid w:val="00B67E9D"/>
    <w:rsid w:val="00B75E21"/>
    <w:rsid w:val="00B801A1"/>
    <w:rsid w:val="00B8514D"/>
    <w:rsid w:val="00B90562"/>
    <w:rsid w:val="00B91BE6"/>
    <w:rsid w:val="00B92BD6"/>
    <w:rsid w:val="00B9448B"/>
    <w:rsid w:val="00B97072"/>
    <w:rsid w:val="00BA1E34"/>
    <w:rsid w:val="00BA5765"/>
    <w:rsid w:val="00BB29B8"/>
    <w:rsid w:val="00BB2FB3"/>
    <w:rsid w:val="00BB43C3"/>
    <w:rsid w:val="00BB7421"/>
    <w:rsid w:val="00BC35F3"/>
    <w:rsid w:val="00BE6CC9"/>
    <w:rsid w:val="00BF3D41"/>
    <w:rsid w:val="00C014A0"/>
    <w:rsid w:val="00C078D3"/>
    <w:rsid w:val="00C2593F"/>
    <w:rsid w:val="00C27579"/>
    <w:rsid w:val="00C40A89"/>
    <w:rsid w:val="00C4404A"/>
    <w:rsid w:val="00C44443"/>
    <w:rsid w:val="00C52201"/>
    <w:rsid w:val="00C5276A"/>
    <w:rsid w:val="00C55DD4"/>
    <w:rsid w:val="00C5722F"/>
    <w:rsid w:val="00C62AC1"/>
    <w:rsid w:val="00C70AE0"/>
    <w:rsid w:val="00C74655"/>
    <w:rsid w:val="00C7743E"/>
    <w:rsid w:val="00C82823"/>
    <w:rsid w:val="00C86169"/>
    <w:rsid w:val="00C97B11"/>
    <w:rsid w:val="00CA6B63"/>
    <w:rsid w:val="00CB359D"/>
    <w:rsid w:val="00CB7693"/>
    <w:rsid w:val="00CC0D19"/>
    <w:rsid w:val="00CC1192"/>
    <w:rsid w:val="00CC2DA2"/>
    <w:rsid w:val="00CC2DCE"/>
    <w:rsid w:val="00CD0655"/>
    <w:rsid w:val="00CD11D8"/>
    <w:rsid w:val="00CE10F4"/>
    <w:rsid w:val="00CE1E29"/>
    <w:rsid w:val="00CF0EDF"/>
    <w:rsid w:val="00CF100C"/>
    <w:rsid w:val="00CF1C5D"/>
    <w:rsid w:val="00CF3CAB"/>
    <w:rsid w:val="00D01655"/>
    <w:rsid w:val="00D01D44"/>
    <w:rsid w:val="00D0501B"/>
    <w:rsid w:val="00D149A2"/>
    <w:rsid w:val="00D27F7A"/>
    <w:rsid w:val="00D42EE2"/>
    <w:rsid w:val="00D44D5F"/>
    <w:rsid w:val="00D46B2C"/>
    <w:rsid w:val="00D63806"/>
    <w:rsid w:val="00D7317D"/>
    <w:rsid w:val="00D7414A"/>
    <w:rsid w:val="00D74CCD"/>
    <w:rsid w:val="00D74D6E"/>
    <w:rsid w:val="00DA6651"/>
    <w:rsid w:val="00DB1CE1"/>
    <w:rsid w:val="00DB2A2D"/>
    <w:rsid w:val="00DB7C12"/>
    <w:rsid w:val="00DC167A"/>
    <w:rsid w:val="00DD2FAA"/>
    <w:rsid w:val="00DD3146"/>
    <w:rsid w:val="00DD49E0"/>
    <w:rsid w:val="00DE1F1C"/>
    <w:rsid w:val="00DE38BB"/>
    <w:rsid w:val="00DE6C33"/>
    <w:rsid w:val="00DF6B35"/>
    <w:rsid w:val="00E00D12"/>
    <w:rsid w:val="00E028DC"/>
    <w:rsid w:val="00E04958"/>
    <w:rsid w:val="00E10060"/>
    <w:rsid w:val="00E265F7"/>
    <w:rsid w:val="00E30668"/>
    <w:rsid w:val="00E33BE0"/>
    <w:rsid w:val="00E36B54"/>
    <w:rsid w:val="00E521AC"/>
    <w:rsid w:val="00E5601F"/>
    <w:rsid w:val="00E622D6"/>
    <w:rsid w:val="00E644EA"/>
    <w:rsid w:val="00E66603"/>
    <w:rsid w:val="00E7249A"/>
    <w:rsid w:val="00E74743"/>
    <w:rsid w:val="00E824FE"/>
    <w:rsid w:val="00E83CC1"/>
    <w:rsid w:val="00E85EC4"/>
    <w:rsid w:val="00E906ED"/>
    <w:rsid w:val="00EB0FDE"/>
    <w:rsid w:val="00EB705F"/>
    <w:rsid w:val="00EC475E"/>
    <w:rsid w:val="00EC48B7"/>
    <w:rsid w:val="00ED04B1"/>
    <w:rsid w:val="00ED3A00"/>
    <w:rsid w:val="00ED5D6A"/>
    <w:rsid w:val="00ED7385"/>
    <w:rsid w:val="00EE1CC1"/>
    <w:rsid w:val="00EE6AFC"/>
    <w:rsid w:val="00EE7098"/>
    <w:rsid w:val="00EE7978"/>
    <w:rsid w:val="00EF24D6"/>
    <w:rsid w:val="00EF4344"/>
    <w:rsid w:val="00EF4586"/>
    <w:rsid w:val="00F0008C"/>
    <w:rsid w:val="00F00F2C"/>
    <w:rsid w:val="00F01278"/>
    <w:rsid w:val="00F01EF0"/>
    <w:rsid w:val="00F07041"/>
    <w:rsid w:val="00F10E24"/>
    <w:rsid w:val="00F1471D"/>
    <w:rsid w:val="00F14D01"/>
    <w:rsid w:val="00F327A3"/>
    <w:rsid w:val="00F409E0"/>
    <w:rsid w:val="00F40BA1"/>
    <w:rsid w:val="00F51FC2"/>
    <w:rsid w:val="00F60012"/>
    <w:rsid w:val="00F6627A"/>
    <w:rsid w:val="00F66A09"/>
    <w:rsid w:val="00F80DF7"/>
    <w:rsid w:val="00F812FB"/>
    <w:rsid w:val="00F85BD9"/>
    <w:rsid w:val="00F8784B"/>
    <w:rsid w:val="00F925C3"/>
    <w:rsid w:val="00F93A9F"/>
    <w:rsid w:val="00FA017A"/>
    <w:rsid w:val="00FA3885"/>
    <w:rsid w:val="00FA4E62"/>
    <w:rsid w:val="00FA6E64"/>
    <w:rsid w:val="00FA7FB7"/>
    <w:rsid w:val="00FB0835"/>
    <w:rsid w:val="00FC3D16"/>
    <w:rsid w:val="00FC4DEF"/>
    <w:rsid w:val="00FC4E08"/>
    <w:rsid w:val="00FD1FBB"/>
    <w:rsid w:val="00FD7796"/>
    <w:rsid w:val="00FE44F7"/>
    <w:rsid w:val="00FE6E36"/>
    <w:rsid w:val="00FE73A2"/>
    <w:rsid w:val="00FF0EA6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25BE26"/>
  <w15:docId w15:val="{D318FD44-F7E0-42CA-88B7-8119204A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DA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FE6E36"/>
    <w:pPr>
      <w:keepNext/>
      <w:jc w:val="lowKashida"/>
      <w:outlineLvl w:val="3"/>
    </w:pPr>
    <w:rPr>
      <w:rFonts w:ascii="Arial" w:eastAsia="Times New Roman" w:hAnsi="Arial" w:cs="Arial"/>
      <w:b/>
      <w:bCs/>
      <w:sz w:val="24"/>
      <w:szCs w:val="24"/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25"/>
  </w:style>
  <w:style w:type="paragraph" w:styleId="Footer">
    <w:name w:val="footer"/>
    <w:basedOn w:val="Normal"/>
    <w:link w:val="Foot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25"/>
  </w:style>
  <w:style w:type="paragraph" w:styleId="BalloonText">
    <w:name w:val="Balloon Text"/>
    <w:basedOn w:val="Normal"/>
    <w:link w:val="BalloonTextChar"/>
    <w:uiPriority w:val="99"/>
    <w:semiHidden/>
    <w:unhideWhenUsed/>
    <w:rsid w:val="000B5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B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F232B"/>
    <w:pPr>
      <w:tabs>
        <w:tab w:val="left" w:pos="1140"/>
      </w:tabs>
      <w:bidi/>
      <w:spacing w:before="120" w:after="120"/>
      <w:jc w:val="both"/>
    </w:pPr>
    <w:rPr>
      <w:rFonts w:ascii="Times New Roman" w:eastAsia="Times New Roman" w:hAnsi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FF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8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D7AE9"/>
    <w:pPr>
      <w:ind w:left="720"/>
      <w:contextualSpacing/>
    </w:pPr>
  </w:style>
  <w:style w:type="table" w:styleId="TableGrid">
    <w:name w:val="Table Grid"/>
    <w:basedOn w:val="TableNormal"/>
    <w:uiPriority w:val="59"/>
    <w:rsid w:val="0063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3D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35B"/>
    <w:rPr>
      <w:color w:val="0000FF" w:themeColor="hyperlink"/>
      <w:u w:val="single"/>
    </w:rPr>
  </w:style>
  <w:style w:type="paragraph" w:customStyle="1" w:styleId="NormalTahoma">
    <w:name w:val="Normal + Tahoma"/>
    <w:basedOn w:val="Normal"/>
    <w:rsid w:val="002B0480"/>
    <w:pPr>
      <w:bidi/>
      <w:spacing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24170D"/>
  </w:style>
  <w:style w:type="paragraph" w:styleId="BodyText2">
    <w:name w:val="Body Text 2"/>
    <w:basedOn w:val="Normal"/>
    <w:link w:val="BodyText2Char"/>
    <w:rsid w:val="007033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338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1354"/>
  </w:style>
  <w:style w:type="character" w:customStyle="1" w:styleId="shorttext">
    <w:name w:val="short_text"/>
    <w:basedOn w:val="DefaultParagraphFont"/>
    <w:rsid w:val="00301354"/>
  </w:style>
  <w:style w:type="character" w:customStyle="1" w:styleId="hps">
    <w:name w:val="hps"/>
    <w:basedOn w:val="DefaultParagraphFont"/>
    <w:rsid w:val="00301354"/>
  </w:style>
  <w:style w:type="paragraph" w:styleId="Title">
    <w:name w:val="Title"/>
    <w:basedOn w:val="Normal"/>
    <w:link w:val="TitleChar"/>
    <w:qFormat/>
    <w:rsid w:val="00DB7C12"/>
    <w:pPr>
      <w:bidi/>
      <w:jc w:val="center"/>
    </w:pPr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DB7C12"/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character" w:customStyle="1" w:styleId="Heading4Char">
    <w:name w:val="Heading 4 Char"/>
    <w:basedOn w:val="DefaultParagraphFont"/>
    <w:link w:val="Heading4"/>
    <w:rsid w:val="00FE6E36"/>
    <w:rPr>
      <w:rFonts w:ascii="Arial" w:eastAsia="Times New Roman" w:hAnsi="Arial" w:cs="Arial"/>
      <w:b/>
      <w:bCs/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%20DRIVE\&#1571;&#1593;&#1605;&#1575;&#1604;%202014\&#1575;&#1604;&#1602;&#1608;&#1609;%20&#1575;&#1604;&#1593;&#1575;&#1605;&#1604;&#1577;%202014\&#1575;&#1604;&#1606;&#1578;&#1575;&#1574;&#1580;\&#1575;&#1604;&#1606;&#1588;&#1585;&#1577;\&#1571;&#1588;&#1603;&#1575;&#1604;%20&#1606;&#1588;&#1585;&#1577;%20&#1575;&#1604;&#1602;&#1608;&#1609;%20&#1575;&#1604;&#1593;&#1575;&#1605;&#1604;&#1577;%202014%20&#1593;&#1585;&#1576;&#161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%20DRIVE\&#1571;&#1593;&#1605;&#1575;&#1604;%202014\&#1575;&#1604;&#1602;&#1608;&#1609;%20&#1575;&#1604;&#1593;&#1575;&#1605;&#1604;&#1577;%202014\&#1575;&#1604;&#1606;&#1578;&#1575;&#1574;&#1580;\&#1575;&#1604;&#1606;&#1588;&#1585;&#1577;\&#1571;&#1588;&#1603;&#1575;&#1604;%20&#1606;&#1588;&#1585;&#1577;%20&#1575;&#1604;&#1602;&#1608;&#1609;%20&#1575;&#1604;&#1593;&#1575;&#1605;&#1604;&#1577;%202014%20e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%20DRIVE\&#1571;&#1593;&#1605;&#1575;&#1604;%202014\&#1575;&#1604;&#1602;&#1608;&#1609;%20&#1575;&#1604;&#1593;&#1575;&#1605;&#1604;&#1577;%202014\&#1575;&#1604;&#1606;&#1578;&#1575;&#1574;&#1580;\&#1575;&#1604;&#1606;&#1588;&#1585;&#1577;\&#1571;&#1588;&#1603;&#1575;&#1604;%20&#1606;&#1588;&#1585;&#1577;%20&#1575;&#1604;&#1602;&#1608;&#1609;%20&#1575;&#1604;&#1593;&#1575;&#1605;&#1604;&#1577;%202014%20e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%20DRIVE\&#1571;&#1593;&#1605;&#1575;&#1604;%202014\&#1575;&#1604;&#1602;&#1608;&#1609;%20&#1575;&#1604;&#1593;&#1575;&#1605;&#1604;&#1577;%202014\&#1575;&#1604;&#1606;&#1578;&#1575;&#1574;&#1580;\&#1575;&#1604;&#1606;&#1588;&#1585;&#1577;\&#1571;&#1588;&#1603;&#1575;&#1604;%20&#1606;&#1588;&#1585;&#1577;%20&#1575;&#1604;&#1602;&#1608;&#1609;%20&#1575;&#1604;&#1593;&#1575;&#1605;&#1604;&#1577;%202014%20e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%20DRIVE\&#1571;&#1593;&#1605;&#1575;&#1604;%202014\&#1575;&#1604;&#1602;&#1608;&#1609;%20&#1575;&#1604;&#1593;&#1575;&#1605;&#1604;&#1577;%202014\&#1575;&#1604;&#1606;&#1578;&#1575;&#1574;&#1580;\&#1575;&#1604;&#1606;&#1588;&#1585;&#1577;\&#1571;&#1588;&#1603;&#1575;&#1604;%20&#1606;&#1588;&#1585;&#1577;%20&#1575;&#1604;&#1602;&#1608;&#1609;%20&#1575;&#1604;&#1593;&#1575;&#1605;&#1604;&#1577;%202014%20e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%20DRIVE\&#1571;&#1593;&#1605;&#1575;&#1604;%202014\&#1575;&#1604;&#1602;&#1608;&#1609;%20&#1575;&#1604;&#1593;&#1575;&#1605;&#1604;&#1577;%202014\&#1575;&#1604;&#1606;&#1578;&#1575;&#1574;&#1580;\&#1575;&#1604;&#1606;&#1588;&#1585;&#1577;\&#1571;&#1588;&#1603;&#1575;&#1604;%20&#1606;&#1588;&#1585;&#1577;%20&#1575;&#1604;&#1602;&#1608;&#1609;%20&#1575;&#1604;&#1593;&#1575;&#1605;&#1604;&#1577;%202014%20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إماراتي
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8.3333333333333072E-3"/>
                  <c:y val="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8.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Sheet1!$C$2:$D$2</c:f>
              <c:strCache>
                <c:ptCount val="2"/>
                <c:pt idx="0">
                  <c:v>النشطون اقتصادياً</c:v>
                </c:pt>
                <c:pt idx="1">
                  <c:v>غير النشطين اقتصادياً</c:v>
                </c:pt>
              </c:strCache>
            </c:strRef>
          </c:cat>
          <c:val>
            <c:numRef>
              <c:f>Sheet1!$C$3:$D$3</c:f>
              <c:numCache>
                <c:formatCode>0.0</c:formatCode>
                <c:ptCount val="2"/>
                <c:pt idx="0">
                  <c:v>49.1</c:v>
                </c:pt>
                <c:pt idx="1">
                  <c:v>50.9</c:v>
                </c:pt>
              </c:numCache>
            </c:numRef>
          </c:val>
        </c:ser>
        <c:ser>
          <c:idx val="1"/>
          <c:order val="1"/>
          <c:tx>
            <c:strRef>
              <c:f>Sheet1!$B$4</c:f>
              <c:strCache>
                <c:ptCount val="1"/>
                <c:pt idx="0">
                  <c:v>غير إماراتي
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7777777777777779E-3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Sheet1!$C$2:$D$2</c:f>
              <c:strCache>
                <c:ptCount val="2"/>
                <c:pt idx="0">
                  <c:v>النشطون اقتصادياً</c:v>
                </c:pt>
                <c:pt idx="1">
                  <c:v>غير النشطين اقتصادياً</c:v>
                </c:pt>
              </c:strCache>
            </c:strRef>
          </c:cat>
          <c:val>
            <c:numRef>
              <c:f>Sheet1!$C$4:$D$4</c:f>
              <c:numCache>
                <c:formatCode>0.0</c:formatCode>
                <c:ptCount val="2"/>
                <c:pt idx="0">
                  <c:v>85.5</c:v>
                </c:pt>
                <c:pt idx="1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77992"/>
        <c:axId val="114276032"/>
      </c:barChart>
      <c:catAx>
        <c:axId val="114277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276032"/>
        <c:crosses val="autoZero"/>
        <c:auto val="1"/>
        <c:lblAlgn val="ctr"/>
        <c:lblOffset val="100"/>
        <c:noMultiLvlLbl val="0"/>
      </c:catAx>
      <c:valAx>
        <c:axId val="11427603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42779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900" b="1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Emirati</a:t>
            </a:r>
          </a:p>
        </c:rich>
      </c:tx>
      <c:layout>
        <c:manualLayout>
          <c:xMode val="edge"/>
          <c:yMode val="edge"/>
          <c:x val="0.64320122484689413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137482502187226"/>
          <c:y val="0.10949074074074074"/>
          <c:w val="0.38361461067366581"/>
          <c:h val="0.63935768445610963"/>
        </c:manualLayout>
      </c:layout>
      <c:pieChart>
        <c:varyColors val="1"/>
        <c:ser>
          <c:idx val="0"/>
          <c:order val="0"/>
          <c:tx>
            <c:strRef>
              <c:f>Sheet1!$B$20</c:f>
              <c:strCache>
                <c:ptCount val="1"/>
                <c:pt idx="0">
                  <c:v>
Emirati
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Sheet1!$C$19:$D$19</c:f>
              <c:strCache>
                <c:ptCount val="2"/>
                <c:pt idx="0">
                  <c:v>Employed
</c:v>
                </c:pt>
                <c:pt idx="1">
                  <c:v>Unemployed
</c:v>
                </c:pt>
              </c:strCache>
            </c:strRef>
          </c:cat>
          <c:val>
            <c:numRef>
              <c:f>Sheet1!$C$20:$D$20</c:f>
              <c:numCache>
                <c:formatCode>0.0</c:formatCode>
                <c:ptCount val="2"/>
                <c:pt idx="0">
                  <c:v>97.43</c:v>
                </c:pt>
                <c:pt idx="1">
                  <c:v>2.5699999999999932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ar-SA" sz="900"/>
              <a:t> </a:t>
            </a:r>
            <a:r>
              <a:rPr lang="en-US" sz="900"/>
              <a:t>Non Emirati</a:t>
            </a:r>
          </a:p>
        </c:rich>
      </c:tx>
      <c:layout>
        <c:manualLayout>
          <c:xMode val="edge"/>
          <c:yMode val="edge"/>
          <c:x val="0.62848600174978131"/>
          <c:y val="5.09259259259259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5025087489063869"/>
          <c:y val="8.1712962962962946E-2"/>
          <c:w val="0.40930555555555553"/>
          <c:h val="0.68217592592592591"/>
        </c:manualLayout>
      </c:layout>
      <c:pieChart>
        <c:varyColors val="1"/>
        <c:ser>
          <c:idx val="0"/>
          <c:order val="0"/>
          <c:tx>
            <c:strRef>
              <c:f>Sheet1!$B$22</c:f>
              <c:strCache>
                <c:ptCount val="1"/>
                <c:pt idx="0">
                  <c:v> Non Emirati
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1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Sheet1!$C$21:$D$21</c:f>
              <c:strCache>
                <c:ptCount val="2"/>
                <c:pt idx="0">
                  <c:v>Employed
</c:v>
                </c:pt>
                <c:pt idx="1">
                  <c:v>Unemployed
</c:v>
                </c:pt>
              </c:strCache>
            </c:strRef>
          </c:cat>
          <c:val>
            <c:numRef>
              <c:f>Sheet1!$C$22:$D$22</c:f>
              <c:numCache>
                <c:formatCode>General</c:formatCode>
                <c:ptCount val="2"/>
                <c:pt idx="0">
                  <c:v>99.8</c:v>
                </c:pt>
                <c:pt idx="1">
                  <c:v>0.20000000000000284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Sheet1!$A$27</c:f>
              <c:strCache>
                <c:ptCount val="1"/>
                <c:pt idx="0">
                  <c:v>Emirati
</c:v>
                </c:pt>
              </c:strCache>
            </c:strRef>
          </c:tx>
          <c:spPr>
            <a:ln>
              <a:solidFill>
                <a:schemeClr val="bg1">
                  <a:lumMod val="85000"/>
                </a:schemeClr>
              </a:solidFill>
            </a:ln>
          </c:spPr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6.6897347174163777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9965397923875437E-2"/>
                  <c:y val="-2.3148148148148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384083044982699E-2"/>
                  <c:y val="5.263157894736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9976931949250287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1522491349481057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8442906574394463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36332179930796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1510957324106117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Sheet1!$B$26:$L$26</c:f>
              <c:strCache>
                <c:ptCount val="11"/>
                <c:pt idx="0">
                  <c:v>15 – 19</c:v>
                </c:pt>
                <c:pt idx="1">
                  <c:v>20 – 24</c:v>
                </c:pt>
                <c:pt idx="2">
                  <c:v>25 – 29</c:v>
                </c:pt>
                <c:pt idx="3">
                  <c:v>30 – 34</c:v>
                </c:pt>
                <c:pt idx="4">
                  <c:v>39 – 35</c:v>
                </c:pt>
                <c:pt idx="5">
                  <c:v>44 – 40</c:v>
                </c:pt>
                <c:pt idx="6">
                  <c:v>49 – 45</c:v>
                </c:pt>
                <c:pt idx="7">
                  <c:v>54 – 50</c:v>
                </c:pt>
                <c:pt idx="8">
                  <c:v>59 - 55</c:v>
                </c:pt>
                <c:pt idx="9">
                  <c:v> 64 - 60 </c:v>
                </c:pt>
                <c:pt idx="10">
                  <c:v>65 +</c:v>
                </c:pt>
              </c:strCache>
            </c:strRef>
          </c:cat>
          <c:val>
            <c:numRef>
              <c:f>Sheet1!$B$27:$L$27</c:f>
              <c:numCache>
                <c:formatCode>0.0</c:formatCode>
                <c:ptCount val="11"/>
                <c:pt idx="0">
                  <c:v>2.4</c:v>
                </c:pt>
                <c:pt idx="1">
                  <c:v>15.2</c:v>
                </c:pt>
                <c:pt idx="2">
                  <c:v>19.3</c:v>
                </c:pt>
                <c:pt idx="3">
                  <c:v>18.7</c:v>
                </c:pt>
                <c:pt idx="4">
                  <c:v>16.100000000000001</c:v>
                </c:pt>
                <c:pt idx="5">
                  <c:v>10.7</c:v>
                </c:pt>
                <c:pt idx="6">
                  <c:v>8</c:v>
                </c:pt>
                <c:pt idx="7">
                  <c:v>4.9000000000000004</c:v>
                </c:pt>
                <c:pt idx="8">
                  <c:v>2.5</c:v>
                </c:pt>
                <c:pt idx="9">
                  <c:v>1.1000000000000001</c:v>
                </c:pt>
                <c:pt idx="10">
                  <c:v>1.1000000000000001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Sheet1!$A$28</c:f>
              <c:strCache>
                <c:ptCount val="1"/>
                <c:pt idx="0">
                  <c:v> Non Emirati
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2"/>
              <c:layout>
                <c:manualLayout>
                  <c:x val="-1.845444059976932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920415224913495E-3"/>
                  <c:y val="-3.508771929824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845444059976923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84544405997693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1534025374855825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9.22722029988466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Sheet1!$B$26:$L$26</c:f>
              <c:strCache>
                <c:ptCount val="11"/>
                <c:pt idx="0">
                  <c:v>15 – 19</c:v>
                </c:pt>
                <c:pt idx="1">
                  <c:v>20 – 24</c:v>
                </c:pt>
                <c:pt idx="2">
                  <c:v>25 – 29</c:v>
                </c:pt>
                <c:pt idx="3">
                  <c:v>30 – 34</c:v>
                </c:pt>
                <c:pt idx="4">
                  <c:v>39 – 35</c:v>
                </c:pt>
                <c:pt idx="5">
                  <c:v>44 – 40</c:v>
                </c:pt>
                <c:pt idx="6">
                  <c:v>49 – 45</c:v>
                </c:pt>
                <c:pt idx="7">
                  <c:v>54 – 50</c:v>
                </c:pt>
                <c:pt idx="8">
                  <c:v>59 - 55</c:v>
                </c:pt>
                <c:pt idx="9">
                  <c:v> 64 - 60 </c:v>
                </c:pt>
                <c:pt idx="10">
                  <c:v>65 +</c:v>
                </c:pt>
              </c:strCache>
            </c:strRef>
          </c:cat>
          <c:val>
            <c:numRef>
              <c:f>Sheet1!$B$28:$L$28</c:f>
              <c:numCache>
                <c:formatCode>0.0</c:formatCode>
                <c:ptCount val="11"/>
                <c:pt idx="0">
                  <c:v>0.4</c:v>
                </c:pt>
                <c:pt idx="1">
                  <c:v>8.6</c:v>
                </c:pt>
                <c:pt idx="2">
                  <c:v>21.2</c:v>
                </c:pt>
                <c:pt idx="3">
                  <c:v>22.9</c:v>
                </c:pt>
                <c:pt idx="4">
                  <c:v>16.5</c:v>
                </c:pt>
                <c:pt idx="5">
                  <c:v>13.4</c:v>
                </c:pt>
                <c:pt idx="6">
                  <c:v>8.5</c:v>
                </c:pt>
                <c:pt idx="7">
                  <c:v>3.9</c:v>
                </c:pt>
                <c:pt idx="8">
                  <c:v>3</c:v>
                </c:pt>
                <c:pt idx="9">
                  <c:v>1.1000000000000001</c:v>
                </c:pt>
                <c:pt idx="10">
                  <c:v>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78384"/>
        <c:axId val="114274072"/>
      </c:lineChart>
      <c:catAx>
        <c:axId val="11427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274072"/>
        <c:crosses val="autoZero"/>
        <c:auto val="1"/>
        <c:lblAlgn val="ctr"/>
        <c:lblOffset val="100"/>
        <c:noMultiLvlLbl val="0"/>
      </c:catAx>
      <c:valAx>
        <c:axId val="11427407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427838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Sheet1!$A$39</c:f>
              <c:strCache>
                <c:ptCount val="1"/>
                <c:pt idx="0">
                  <c:v>Emirati
</c:v>
                </c:pt>
              </c:strCache>
            </c:strRef>
          </c:tx>
          <c:spPr>
            <a:ln>
              <a:solidFill>
                <a:schemeClr val="bg1">
                  <a:lumMod val="85000"/>
                </a:schemeClr>
              </a:solidFill>
            </a:ln>
          </c:spPr>
          <c:marker>
            <c:spPr>
              <a:solidFill>
                <a:srgbClr val="FF0000"/>
              </a:solidFill>
            </c:spPr>
          </c:marker>
          <c:dLbls>
            <c:dLbl>
              <c:idx val="5"/>
              <c:layout>
                <c:manualLayout>
                  <c:x val="-3.2840722495894911E-2"/>
                  <c:y val="-8.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5681444991789817E-3"/>
                  <c:y val="-6.018518518518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-6.48148148148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7515051997810619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Sheet1!$B$36:$L$38</c:f>
              <c:multiLvlStrCache>
                <c:ptCount val="11"/>
                <c:lvl>
                  <c:pt idx="5">
                    <c:v>  non-tertiary</c:v>
                  </c:pt>
                  <c:pt idx="9">
                    <c:v>Write</c:v>
                  </c:pt>
                </c:lvl>
                <c:lvl>
                  <c:pt idx="0">
                    <c:v>Doctorate  or Equivalent</c:v>
                  </c:pt>
                  <c:pt idx="1">
                    <c:v> Master or Equivalent</c:v>
                  </c:pt>
                  <c:pt idx="2">
                    <c:v>Higher Diploma</c:v>
                  </c:pt>
                  <c:pt idx="3">
                    <c:v>University  or Equivalent</c:v>
                  </c:pt>
                  <c:pt idx="4">
                    <c:v> Short-cycle tertiary</c:v>
                  </c:pt>
                  <c:pt idx="5">
                    <c:v>Post-secondary </c:v>
                  </c:pt>
                  <c:pt idx="6">
                    <c:v>Secondary</c:v>
                  </c:pt>
                  <c:pt idx="7">
                    <c:v>Preparatory</c:v>
                  </c:pt>
                  <c:pt idx="8">
                    <c:v> Primary</c:v>
                  </c:pt>
                  <c:pt idx="9">
                    <c:v>Read &amp;</c:v>
                  </c:pt>
                  <c:pt idx="10">
                    <c:v> Illiterate</c:v>
                  </c:pt>
                </c:lvl>
              </c:multiLvlStrCache>
            </c:multiLvlStrRef>
          </c:cat>
          <c:val>
            <c:numRef>
              <c:f>Sheet1!$B$39:$L$39</c:f>
              <c:numCache>
                <c:formatCode>0.0</c:formatCode>
                <c:ptCount val="11"/>
                <c:pt idx="0">
                  <c:v>0.9</c:v>
                </c:pt>
                <c:pt idx="1">
                  <c:v>5.5</c:v>
                </c:pt>
                <c:pt idx="2">
                  <c:v>1</c:v>
                </c:pt>
                <c:pt idx="3">
                  <c:v>29.4</c:v>
                </c:pt>
                <c:pt idx="4">
                  <c:v>5.8</c:v>
                </c:pt>
                <c:pt idx="5">
                  <c:v>1</c:v>
                </c:pt>
                <c:pt idx="6">
                  <c:v>34.5</c:v>
                </c:pt>
                <c:pt idx="7">
                  <c:v>15.7</c:v>
                </c:pt>
                <c:pt idx="8">
                  <c:v>5.0999999999999996</c:v>
                </c:pt>
                <c:pt idx="9">
                  <c:v>0.8</c:v>
                </c:pt>
                <c:pt idx="10">
                  <c:v>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Sheet1!$A$40</c:f>
              <c:strCache>
                <c:ptCount val="1"/>
                <c:pt idx="0">
                  <c:v> Non Emirati
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2.189381499726328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136288998357963E-2"/>
                  <c:y val="-9.5954046878896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8461959496442254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40831964969896E-2"/>
                  <c:y val="-4.1666666666666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9704433497536946E-2"/>
                  <c:y val="3.0018755813179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1893814997261669E-3"/>
                  <c:y val="-3.0018755813179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Sheet1!$B$36:$L$38</c:f>
              <c:multiLvlStrCache>
                <c:ptCount val="11"/>
                <c:lvl>
                  <c:pt idx="5">
                    <c:v>  non-tertiary</c:v>
                  </c:pt>
                  <c:pt idx="9">
                    <c:v>Write</c:v>
                  </c:pt>
                </c:lvl>
                <c:lvl>
                  <c:pt idx="0">
                    <c:v>Doctorate  or Equivalent</c:v>
                  </c:pt>
                  <c:pt idx="1">
                    <c:v> Master or Equivalent</c:v>
                  </c:pt>
                  <c:pt idx="2">
                    <c:v>Higher Diploma</c:v>
                  </c:pt>
                  <c:pt idx="3">
                    <c:v>University  or Equivalent</c:v>
                  </c:pt>
                  <c:pt idx="4">
                    <c:v> Short-cycle tertiary</c:v>
                  </c:pt>
                  <c:pt idx="5">
                    <c:v>Post-secondary </c:v>
                  </c:pt>
                  <c:pt idx="6">
                    <c:v>Secondary</c:v>
                  </c:pt>
                  <c:pt idx="7">
                    <c:v>Preparatory</c:v>
                  </c:pt>
                  <c:pt idx="8">
                    <c:v> Primary</c:v>
                  </c:pt>
                  <c:pt idx="9">
                    <c:v>Read &amp;</c:v>
                  </c:pt>
                  <c:pt idx="10">
                    <c:v> Illiterate</c:v>
                  </c:pt>
                </c:lvl>
              </c:multiLvlStrCache>
            </c:multiLvlStrRef>
          </c:cat>
          <c:val>
            <c:numRef>
              <c:f>Sheet1!$B$40:$L$40</c:f>
              <c:numCache>
                <c:formatCode>0.0</c:formatCode>
                <c:ptCount val="11"/>
                <c:pt idx="0">
                  <c:v>0.4</c:v>
                </c:pt>
                <c:pt idx="1">
                  <c:v>4</c:v>
                </c:pt>
                <c:pt idx="2">
                  <c:v>1.5</c:v>
                </c:pt>
                <c:pt idx="3">
                  <c:v>20.2</c:v>
                </c:pt>
                <c:pt idx="4">
                  <c:v>3.9</c:v>
                </c:pt>
                <c:pt idx="5">
                  <c:v>1.2</c:v>
                </c:pt>
                <c:pt idx="6">
                  <c:v>19.2</c:v>
                </c:pt>
                <c:pt idx="7">
                  <c:v>25.4</c:v>
                </c:pt>
                <c:pt idx="8">
                  <c:v>14.1</c:v>
                </c:pt>
                <c:pt idx="9">
                  <c:v>6.6</c:v>
                </c:pt>
                <c:pt idx="10">
                  <c:v>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79560"/>
        <c:axId val="114274464"/>
      </c:lineChart>
      <c:catAx>
        <c:axId val="114279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14274464"/>
        <c:crosses val="autoZero"/>
        <c:auto val="1"/>
        <c:lblAlgn val="ctr"/>
        <c:lblOffset val="100"/>
        <c:noMultiLvlLbl val="0"/>
      </c:catAx>
      <c:valAx>
        <c:axId val="11427446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427956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1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Emirati</a:t>
            </a:r>
          </a:p>
        </c:rich>
      </c:tx>
      <c:layout>
        <c:manualLayout>
          <c:xMode val="edge"/>
          <c:yMode val="edge"/>
          <c:x val="0.70106933508311464"/>
          <c:y val="0.138888888888888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512248468941382"/>
          <c:y val="0.12240813648293965"/>
          <c:w val="0.4047550306211723"/>
          <c:h val="0.67459171770195381"/>
        </c:manualLayout>
      </c:layout>
      <c:pieChart>
        <c:varyColors val="1"/>
        <c:ser>
          <c:idx val="0"/>
          <c:order val="0"/>
          <c:tx>
            <c:strRef>
              <c:f>Sheet1!$A$53</c:f>
              <c:strCache>
                <c:ptCount val="1"/>
                <c:pt idx="0">
                  <c:v>Emirati
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Sheet1!$B$51:$F$52</c:f>
              <c:strCache>
                <c:ptCount val="5"/>
                <c:pt idx="0">
                  <c:v> Single</c:v>
                </c:pt>
                <c:pt idx="1">
                  <c:v> Married</c:v>
                </c:pt>
                <c:pt idx="2">
                  <c:v> Divorced</c:v>
                </c:pt>
                <c:pt idx="3">
                  <c:v> Widowed </c:v>
                </c:pt>
                <c:pt idx="4">
                  <c:v> Separated </c:v>
                </c:pt>
              </c:strCache>
            </c:strRef>
          </c:cat>
          <c:val>
            <c:numRef>
              <c:f>Sheet1!$B$53:$F$53</c:f>
              <c:numCache>
                <c:formatCode>0.0</c:formatCode>
                <c:ptCount val="5"/>
                <c:pt idx="0">
                  <c:v>39</c:v>
                </c:pt>
                <c:pt idx="1">
                  <c:v>57.3</c:v>
                </c:pt>
                <c:pt idx="2">
                  <c:v>2.6</c:v>
                </c:pt>
                <c:pt idx="3">
                  <c:v>0.6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1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/>
              <a:t> </a:t>
            </a:r>
            <a:r>
              <a:rPr lang="en-US"/>
              <a:t>Non Emirati</a:t>
            </a:r>
          </a:p>
        </c:rich>
      </c:tx>
      <c:layout>
        <c:manualLayout>
          <c:xMode val="edge"/>
          <c:yMode val="edge"/>
          <c:x val="0.63959711286089238"/>
          <c:y val="8.33333333333333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10826771653544"/>
          <c:y val="5.4051108194808996E-2"/>
          <c:w val="0.47011679790026245"/>
          <c:h val="0.78352799650043747"/>
        </c:manualLayout>
      </c:layout>
      <c:pieChart>
        <c:varyColors val="1"/>
        <c:ser>
          <c:idx val="0"/>
          <c:order val="0"/>
          <c:tx>
            <c:strRef>
              <c:f>Sheet1!$A$56</c:f>
              <c:strCache>
                <c:ptCount val="1"/>
                <c:pt idx="0">
                  <c:v>Non Emirati
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Sheet1!$B$54:$F$55</c:f>
              <c:strCache>
                <c:ptCount val="5"/>
                <c:pt idx="0">
                  <c:v> Single</c:v>
                </c:pt>
                <c:pt idx="1">
                  <c:v> Married</c:v>
                </c:pt>
                <c:pt idx="2">
                  <c:v> Divorced</c:v>
                </c:pt>
                <c:pt idx="3">
                  <c:v> Widowed </c:v>
                </c:pt>
                <c:pt idx="4">
                  <c:v> Separated </c:v>
                </c:pt>
              </c:strCache>
            </c:strRef>
          </c:cat>
          <c:val>
            <c:numRef>
              <c:f>Sheet1!$B$56:$F$56</c:f>
              <c:numCache>
                <c:formatCode>General</c:formatCode>
                <c:ptCount val="5"/>
                <c:pt idx="0">
                  <c:v>25.3</c:v>
                </c:pt>
                <c:pt idx="1">
                  <c:v>73.7</c:v>
                </c:pt>
                <c:pt idx="2">
                  <c:v>0.8</c:v>
                </c:pt>
                <c:pt idx="3">
                  <c:v>0.2</c:v>
                </c:pt>
                <c:pt idx="4" formatCode="0.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1"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Emirati</a:t>
            </a:r>
          </a:p>
        </c:rich>
      </c:tx>
      <c:layout>
        <c:manualLayout>
          <c:xMode val="edge"/>
          <c:yMode val="edge"/>
          <c:x val="0.67606933508311462"/>
          <c:y val="6.481481481481481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725524934383205"/>
          <c:y val="9.5717774861475674E-2"/>
          <c:w val="0.34882283464566927"/>
          <c:h val="0.58137139107611546"/>
        </c:manualLayout>
      </c:layout>
      <c:pieChart>
        <c:varyColors val="1"/>
        <c:ser>
          <c:idx val="0"/>
          <c:order val="0"/>
          <c:tx>
            <c:strRef>
              <c:f>Sheet1!$A$76</c:f>
              <c:strCache>
                <c:ptCount val="1"/>
                <c:pt idx="0">
                  <c:v>Emirati
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1"/>
              <c:layout>
                <c:manualLayout>
                  <c:x val="4.268047575134189E-3"/>
                  <c:y val="4.11679793540046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Sheet1!$B$74:$D$75</c:f>
              <c:strCache>
                <c:ptCount val="3"/>
                <c:pt idx="0">
                  <c:v>Employer</c:v>
                </c:pt>
                <c:pt idx="1">
                  <c:v>Self Employed</c:v>
                </c:pt>
                <c:pt idx="2">
                  <c:v>Salaried</c:v>
                </c:pt>
              </c:strCache>
            </c:strRef>
          </c:cat>
          <c:val>
            <c:numRef>
              <c:f>Sheet1!$B$76:$D$76</c:f>
              <c:numCache>
                <c:formatCode>0.0</c:formatCode>
                <c:ptCount val="3"/>
                <c:pt idx="0">
                  <c:v>3.5</c:v>
                </c:pt>
                <c:pt idx="1">
                  <c:v>1.5</c:v>
                </c:pt>
                <c:pt idx="2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18636876640419947"/>
          <c:y val="0.72801509186351709"/>
          <c:w val="0.53837357830271215"/>
          <c:h val="0.2442071303587051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 b="1"/>
      </a:pPr>
      <a:endParaRPr lang="en-US"/>
    </a:p>
  </c:txPr>
  <c:externalData r:id="rId1">
    <c:autoUpdate val="0"/>
  </c:externalData>
</c:chartSpac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Quarter xmlns="9a92dbd9-a54a-4f24-abd0-cd6bb0e6298c"/>
    <Topic xmlns="9a92dbd9-a54a-4f24-abd0-cd6bb0e6298c">
      <Value>42</Value>
      <Value>41</Value>
    </Topic>
    <Publishing_x0020_Year xmlns="9a92dbd9-a54a-4f24-abd0-cd6bb0e6298c">2014</Publishing_x0020_Year>
    <Description0 xmlns="9a92dbd9-a54a-4f24-abd0-cd6bb0e6298c" xsi:nil="true"/>
    <Description_AR xmlns="9a92dbd9-a54a-4f24-abd0-cd6bb0e6298c" xsi:nil="true"/>
    <Thumbnail_x0020_Image xmlns="efdc1f75-e914-47be-a131-c6af99871045" xsi:nil="true"/>
    <Sub_x0020_Category xmlns="9a92dbd9-a54a-4f24-abd0-cd6bb0e6298c">8</Sub_x0020_Category>
    <Title_x0020_Ar xmlns="9a92dbd9-a54a-4f24-abd0-cd6bb0e6298c">Bulletin of Labor Force Survey Results</Title_x0020_Ar>
    <Language xmlns="9a92dbd9-a54a-4f24-abd0-cd6bb0e6298c">English</Language>
    <Publishing_x0020_Date xmlns="9a92dbd9-a54a-4f24-abd0-cd6bb0e6298c">2013-12-31T20:00:00+00:00</Publishing_x0020_Date>
    <Chapter xmlns="9a92dbd9-a54a-4f24-abd0-cd6bb0e6298c">01</Chapter>
    <Order0 xmlns="9a92dbd9-a54a-4f24-abd0-cd6bb0e6298c">0</Order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5ED55C81844FB07E57490968F304" ma:contentTypeVersion="22" ma:contentTypeDescription="Create a new document." ma:contentTypeScope="" ma:versionID="09f2d48b8ddaed9beeba359862cafdb6">
  <xsd:schema xmlns:xsd="http://www.w3.org/2001/XMLSchema" xmlns:xs="http://www.w3.org/2001/XMLSchema" xmlns:p="http://schemas.microsoft.com/office/2006/metadata/properties" xmlns:ns2="9a92dbd9-a54a-4f24-abd0-cd6bb0e6298c" xmlns:ns3="efdc1f75-e914-47be-a131-c6af99871045" targetNamespace="http://schemas.microsoft.com/office/2006/metadata/properties" ma:root="true" ma:fieldsID="560c832f518ff687ae65ca3fec2e6c76" ns2:_="" ns3:_="">
    <xsd:import namespace="9a92dbd9-a54a-4f24-abd0-cd6bb0e6298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Title_x0020_Ar"/>
                <xsd:element ref="ns2:Sub_x0020_Category"/>
                <xsd:element ref="ns3:Thumbnail_x0020_Image" minOccurs="0"/>
                <xsd:element ref="ns2:Publishing_x0020_Date"/>
                <xsd:element ref="ns2:Publishing_x0020_Year"/>
                <xsd:element ref="ns2:Quarter" minOccurs="0"/>
                <xsd:element ref="ns2:Topic" minOccurs="0"/>
                <xsd:element ref="ns2:Language"/>
                <xsd:element ref="ns2:Description0" minOccurs="0"/>
                <xsd:element ref="ns2:Description_AR" minOccurs="0"/>
                <xsd:element ref="ns2:Chapter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dbd9-a54a-4f24-abd0-cd6bb0e6298c" elementFormDefault="qualified">
    <xsd:import namespace="http://schemas.microsoft.com/office/2006/documentManagement/types"/>
    <xsd:import namespace="http://schemas.microsoft.com/office/infopath/2007/PartnerControls"/>
    <xsd:element name="Title_x0020_Ar" ma:index="4" ma:displayName="Title Ar" ma:internalName="Title_x0020_Ar" ma:readOnly="false">
      <xsd:simpleType>
        <xsd:restriction base="dms:Text">
          <xsd:maxLength value="255"/>
        </xsd:restriction>
      </xsd:simpleType>
    </xsd:element>
    <xsd:element name="Sub_x0020_Category" ma:index="5" ma:displayName="Sub Category" ma:list="{da201a9f-eb71-4f58-95dc-07a9bab35ac6}" ma:internalName="Sub_x0020_Category" ma:showField="Title">
      <xsd:simpleType>
        <xsd:restriction base="dms:Lookup"/>
      </xsd:simpleType>
    </xsd:element>
    <xsd:element name="Publishing_x0020_Date" ma:index="7" ma:displayName="Publishing Date" ma:format="DateOnly" ma:internalName="Publishing_x0020_Date" ma:readOnly="false">
      <xsd:simpleType>
        <xsd:restriction base="dms:DateTime"/>
      </xsd:simpleType>
    </xsd:element>
    <xsd:element name="Publishing_x0020_Year" ma:index="8" ma:displayName="Publishing Year" ma:internalName="Publishing_x0020_Year" ma:readOnly="false">
      <xsd:simpleType>
        <xsd:restriction base="dms:Text">
          <xsd:maxLength value="4"/>
        </xsd:restriction>
      </xsd:simpleType>
    </xsd:element>
    <xsd:element name="Quarter" ma:index="9" nillable="true" ma:displayName="Quarter" ma:list="{b423fb66-77db-4546-aea0-0c832e093c12}" ma:internalName="Quart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10" nillable="true" ma:displayName="Topic" ma:list="{f52f4880-b995-4fec-9ade-cf7b640ed3fa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nguage" ma:index="11" ma:displayName="Language" ma:default="Both" ma:format="Dropdown" ma:internalName="Language">
      <xsd:simpleType>
        <xsd:restriction base="dms:Choice">
          <xsd:enumeration value="Both"/>
          <xsd:enumeration value="English"/>
          <xsd:enumeration value="Arabic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Description_AR" ma:index="13" nillable="true" ma:displayName="Description_AR" ma:internalName="Description_AR" ma:readOnly="false">
      <xsd:simpleType>
        <xsd:restriction base="dms:Note">
          <xsd:maxLength value="255"/>
        </xsd:restriction>
      </xsd:simpleType>
    </xsd:element>
    <xsd:element name="Chapter" ma:index="19" nillable="true" ma:displayName="Chapter" ma:default="01" ma:format="Dropdown" ma:internalName="Chapt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  <xsd:element name="Order0" ma:index="21" nillable="true" ma:displayName="Order" ma:decimals="1" ma:default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Thumbnail_x0020_Image" ma:index="6" nillable="true" ma:displayName="Thumbnail Image" ma:internalName="Thumbnail_x0020_Image" ma:readOnly="false">
      <xsd:simpleType>
        <xsd:restriction base="dms:Unknow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5F7C-0BF3-4368-861B-C38C79BD6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1BDE5-6D19-4B8F-9677-182913DE0E21}">
  <ds:schemaRefs>
    <ds:schemaRef ds:uri="efdc1f75-e914-47be-a131-c6af99871045"/>
    <ds:schemaRef ds:uri="http://schemas.microsoft.com/office/2006/documentManagement/types"/>
    <ds:schemaRef ds:uri="http://schemas.microsoft.com/office/2006/metadata/properties"/>
    <ds:schemaRef ds:uri="9a92dbd9-a54a-4f24-abd0-cd6bb0e6298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1F37D4-C065-4F78-BF35-7F148B7D15CA}"/>
</file>

<file path=customXml/itemProps4.xml><?xml version="1.0" encoding="utf-8"?>
<ds:datastoreItem xmlns:ds="http://schemas.openxmlformats.org/officeDocument/2006/customXml" ds:itemID="{A1EC88D2-2701-4E3D-9F98-ABA01241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Bulletin of Labor Force Survey Results</dc:title>
  <dc:subject/>
  <dc:creator>Mohamed-Amin Osama Al Labban</dc:creator>
  <cp:keywords/>
  <dc:description/>
  <cp:lastModifiedBy>SPProd_Admin</cp:lastModifiedBy>
  <cp:revision>5</cp:revision>
  <cp:lastPrinted>2014-02-27T03:41:00Z</cp:lastPrinted>
  <dcterms:created xsi:type="dcterms:W3CDTF">2016-02-22T04:38:00Z</dcterms:created>
  <dcterms:modified xsi:type="dcterms:W3CDTF">2017-09-20T10:17:00Z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0x01010029955ED55C81844FB07E57490968F304</vt:lpwstr>
  </property>
</Properties>
</file>